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4FD"/>
  <w:body>
    <w:p w:rsidR="00BC2B37" w:rsidRDefault="00BC2B37" w:rsidP="001735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5529031" wp14:editId="7D7500D7">
            <wp:extent cx="982245" cy="10452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913" cy="10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66900" cy="1079810"/>
            <wp:effectExtent l="0" t="0" r="0" b="0"/>
            <wp:docPr id="1" name="Picture 1" descr="C:\Users\zahariek\AppData\Local\Microsoft\Windows\Temporary Internet Files\Content.Word\EBRD blue 15mm (E)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iek\AppData\Local\Microsoft\Windows\Temporary Internet Files\Content.Word\EBRD blue 15mm (E)_Cr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48" w:rsidRPr="001A0367" w:rsidRDefault="00374801" w:rsidP="0017358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EBRD 2017</w:t>
      </w:r>
      <w:r w:rsidR="006E0148"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Annual Meeting and Business Forum</w:t>
      </w:r>
    </w:p>
    <w:p w:rsidR="00303754" w:rsidRPr="001A0367" w:rsidRDefault="006E0148" w:rsidP="0030375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9-11 May. Nicosia, Cyprus</w:t>
      </w:r>
      <w:r w:rsidR="00303754"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</w:p>
    <w:p w:rsidR="00BC2B37" w:rsidRPr="001A0367" w:rsidRDefault="00BC2B37" w:rsidP="00303754">
      <w:pPr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303754" w:rsidRPr="001A0367" w:rsidRDefault="00303754" w:rsidP="0030375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INVITATION</w:t>
      </w:r>
    </w:p>
    <w:p w:rsidR="00AA593D" w:rsidRPr="001A0367" w:rsidRDefault="006E0148" w:rsidP="00AA593D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The </w:t>
      </w:r>
      <w:r w:rsidR="00173582" w:rsidRPr="001A03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European</w:t>
      </w:r>
      <w:r w:rsidRPr="001A03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Bank for Reconstruction and Development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A593D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has the honour to invite you to </w:t>
      </w:r>
    </w:p>
    <w:p w:rsidR="00BC2B37" w:rsidRPr="001A0367" w:rsidRDefault="006E0148" w:rsidP="00BC2B3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6E0148" w:rsidRPr="001A0367" w:rsidRDefault="006E0148" w:rsidP="00BC2B37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Non-Performing Loan </w:t>
      </w:r>
      <w:r w:rsidR="00AA593D" w:rsidRPr="001A036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Resolution Networking Event</w:t>
      </w:r>
    </w:p>
    <w:p w:rsidR="006E0148" w:rsidRPr="001A0367" w:rsidRDefault="006E0148" w:rsidP="0017358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Date</w:t>
      </w:r>
      <w:r w:rsidRPr="001A036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r w:rsidRPr="001A036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9 May 2017. 9:30 am</w:t>
      </w:r>
    </w:p>
    <w:p w:rsidR="006E0148" w:rsidRPr="009043F6" w:rsidRDefault="009043F6" w:rsidP="0017358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it-IT"/>
        </w:rPr>
      </w:pPr>
      <w:r w:rsidRPr="009043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it-IT"/>
        </w:rPr>
        <w:t>Location</w:t>
      </w:r>
      <w:bookmarkStart w:id="0" w:name="_GoBack"/>
      <w:bookmarkEnd w:id="0"/>
      <w:r w:rsidR="006E0148" w:rsidRPr="009043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it-IT"/>
        </w:rPr>
        <w:t xml:space="preserve">: Filoxenia Conference Centre, </w:t>
      </w:r>
      <w:r w:rsidR="006E0148" w:rsidRPr="009043F6">
        <w:rPr>
          <w:rStyle w:val="s1"/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val="it-IT"/>
        </w:rPr>
        <w:t>Thrakis 17, 2112 Aglantzia-Nicosia</w:t>
      </w:r>
    </w:p>
    <w:p w:rsidR="001A0367" w:rsidRPr="009043F6" w:rsidRDefault="001A0367" w:rsidP="006E0148">
      <w:pPr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 w:val="it-IT"/>
        </w:rPr>
      </w:pPr>
    </w:p>
    <w:p w:rsidR="006E0148" w:rsidRPr="001A0367" w:rsidRDefault="006E0148" w:rsidP="006E0148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Who should attend? </w:t>
      </w:r>
    </w:p>
    <w:p w:rsidR="006E0148" w:rsidRPr="00374801" w:rsidRDefault="006E0148" w:rsidP="00173582">
      <w:pPr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37480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The event will provide an opportunity to representatives of commercial banks, NPL resolution platforms, NPL portfolio investors, regulatory bodies, restructuring advisors and </w:t>
      </w:r>
      <w:r w:rsidR="00AA593D" w:rsidRPr="0037480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all those</w:t>
      </w:r>
      <w:r w:rsidRPr="0037480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involved in the process of NPL resolution to exchange experiences and information regarding investment in NPL and NPL resolution in EBRD’s region and particularly in Cyprus and Greece. </w:t>
      </w:r>
    </w:p>
    <w:p w:rsidR="006E0148" w:rsidRPr="001A0367" w:rsidRDefault="00173582" w:rsidP="006E01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Programme</w:t>
      </w:r>
      <w:r w:rsidR="006E0148" w:rsidRPr="001A03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</w:t>
      </w:r>
    </w:p>
    <w:p w:rsidR="006E0148" w:rsidRPr="001A0367" w:rsidRDefault="006E0148" w:rsidP="00173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7480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Introduction: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Kamen Zahariev,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Director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Corporate Recovery, EBRD</w:t>
      </w:r>
    </w:p>
    <w:p w:rsidR="00D30BF6" w:rsidRPr="001A0367" w:rsidRDefault="00D30BF6" w:rsidP="00AA5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7480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The Vienna NPL Initiative: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Latest Developments</w:t>
      </w:r>
      <w:r w:rsidR="00BC2B37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3748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Bojan Markovic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Deputy Director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Economics, Policy and Governance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="00183958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EBRD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374801" w:rsidRDefault="00374801" w:rsidP="0037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74801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Panel discussion: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Marios Kalotychos, </w:t>
      </w:r>
      <w:r w:rsidR="00B05E88" w:rsidRP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Senior Manager</w:t>
      </w:r>
      <w:r w:rsid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B05E88" w:rsidRP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30BF6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Hellenic Bank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 Nick Smith, Director Restructuring &amp; Recoveries, Bank of Cyprus; Nick Colman, Partner, Portfolio Solutions Group, KPMG; moderated by Noel Edison, Director FI, EBRD</w:t>
      </w:r>
    </w:p>
    <w:p w:rsidR="00374801" w:rsidRPr="001A0367" w:rsidRDefault="00374801" w:rsidP="0037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Central Bank of Cyprus (to be confirmed) </w:t>
      </w:r>
    </w:p>
    <w:p w:rsidR="00D30BF6" w:rsidRPr="001A0367" w:rsidRDefault="00D30BF6" w:rsidP="006E014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Followed by </w:t>
      </w:r>
      <w:r w:rsidR="00173582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refreshments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and networking opportunities. </w:t>
      </w:r>
    </w:p>
    <w:p w:rsidR="005203D6" w:rsidRPr="001A0367" w:rsidRDefault="005203D6" w:rsidP="006E014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EBRD Annual Meeting Day Pass: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Please note that delegates attending the event will be able to receive a Day Pass for the EBRD Annual Meeting </w:t>
      </w:r>
      <w:r w:rsidR="00AA593D"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and Business Forum </w:t>
      </w:r>
      <w:r w:rsidRPr="001A036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events on 9 May 2017.</w:t>
      </w:r>
    </w:p>
    <w:p w:rsidR="00D30BF6" w:rsidRPr="00173582" w:rsidRDefault="001A0367" w:rsidP="006E0148">
      <w:pPr>
        <w:rPr>
          <w:rFonts w:ascii="Times New Roman" w:hAnsi="Times New Roman" w:cs="Times New Roman"/>
          <w:sz w:val="24"/>
          <w:szCs w:val="24"/>
        </w:rPr>
      </w:pPr>
      <w:r w:rsidRPr="001A03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Registration: Please RSPV to</w:t>
      </w:r>
      <w:r w:rsid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Lesley Crossley </w:t>
      </w:r>
      <w:hyperlink r:id="rId11" w:history="1">
        <w:r w:rsidR="00B05E88" w:rsidRPr="00E55F6C">
          <w:rPr>
            <w:rStyle w:val="Hyperlink"/>
            <w:rFonts w:ascii="Times New Roman" w:hAnsi="Times New Roman" w:cs="Times New Roman"/>
            <w:sz w:val="24"/>
            <w:szCs w:val="24"/>
          </w:rPr>
          <w:t>crosslel@ebrd.com</w:t>
        </w:r>
      </w:hyperlink>
      <w:r w:rsidR="00B05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sectPr w:rsidR="00D30BF6" w:rsidRPr="00173582" w:rsidSect="00BC2B37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CE" w:rsidRDefault="000D7CCE" w:rsidP="006E0148">
      <w:pPr>
        <w:spacing w:after="0" w:line="240" w:lineRule="auto"/>
      </w:pPr>
      <w:r>
        <w:separator/>
      </w:r>
    </w:p>
  </w:endnote>
  <w:endnote w:type="continuationSeparator" w:id="0">
    <w:p w:rsidR="000D7CCE" w:rsidRDefault="000D7CCE" w:rsidP="006E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CE" w:rsidRDefault="000D7CCE" w:rsidP="006E0148">
      <w:pPr>
        <w:spacing w:after="0" w:line="240" w:lineRule="auto"/>
      </w:pPr>
      <w:r>
        <w:separator/>
      </w:r>
    </w:p>
  </w:footnote>
  <w:footnote w:type="continuationSeparator" w:id="0">
    <w:p w:rsidR="000D7CCE" w:rsidRDefault="000D7CCE" w:rsidP="006E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F06"/>
    <w:multiLevelType w:val="hybridMultilevel"/>
    <w:tmpl w:val="7E32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>
      <o:colormru v:ext="edit" colors="#e4e9fc,#f1f4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8"/>
    <w:rsid w:val="000D7CCE"/>
    <w:rsid w:val="000F1720"/>
    <w:rsid w:val="00173582"/>
    <w:rsid w:val="00183958"/>
    <w:rsid w:val="001A0367"/>
    <w:rsid w:val="00303754"/>
    <w:rsid w:val="00374801"/>
    <w:rsid w:val="005203D6"/>
    <w:rsid w:val="006E0148"/>
    <w:rsid w:val="008371F5"/>
    <w:rsid w:val="008F2F4C"/>
    <w:rsid w:val="009043F6"/>
    <w:rsid w:val="00AA593D"/>
    <w:rsid w:val="00B05E88"/>
    <w:rsid w:val="00B62ECE"/>
    <w:rsid w:val="00B84869"/>
    <w:rsid w:val="00BC2B37"/>
    <w:rsid w:val="00D30BF6"/>
    <w:rsid w:val="00DA37E6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4e9fc,#f1f4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48"/>
  </w:style>
  <w:style w:type="paragraph" w:styleId="Footer">
    <w:name w:val="footer"/>
    <w:basedOn w:val="Normal"/>
    <w:link w:val="FooterChar"/>
    <w:uiPriority w:val="99"/>
    <w:unhideWhenUsed/>
    <w:rsid w:val="006E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48"/>
  </w:style>
  <w:style w:type="character" w:customStyle="1" w:styleId="s1">
    <w:name w:val="s1"/>
    <w:basedOn w:val="DefaultParagraphFont"/>
    <w:rsid w:val="006E0148"/>
  </w:style>
  <w:style w:type="paragraph" w:styleId="ListParagraph">
    <w:name w:val="List Paragraph"/>
    <w:basedOn w:val="Normal"/>
    <w:uiPriority w:val="34"/>
    <w:qFormat/>
    <w:rsid w:val="0017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48"/>
  </w:style>
  <w:style w:type="paragraph" w:styleId="Footer">
    <w:name w:val="footer"/>
    <w:basedOn w:val="Normal"/>
    <w:link w:val="FooterChar"/>
    <w:uiPriority w:val="99"/>
    <w:unhideWhenUsed/>
    <w:rsid w:val="006E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48"/>
  </w:style>
  <w:style w:type="character" w:customStyle="1" w:styleId="s1">
    <w:name w:val="s1"/>
    <w:basedOn w:val="DefaultParagraphFont"/>
    <w:rsid w:val="006E0148"/>
  </w:style>
  <w:style w:type="paragraph" w:styleId="ListParagraph">
    <w:name w:val="List Paragraph"/>
    <w:basedOn w:val="Normal"/>
    <w:uiPriority w:val="34"/>
    <w:qFormat/>
    <w:rsid w:val="0017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sslel@ebr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9c87da95-7b2f-439f-bfd9-321fc51f6870" value=""/>
  <element uid="214105f6-acd4-485a-afa0-a0b988f7534c" value=""/>
</sisl>
</file>

<file path=customXml/itemProps1.xml><?xml version="1.0" encoding="utf-8"?>
<ds:datastoreItem xmlns:ds="http://schemas.openxmlformats.org/officeDocument/2006/customXml" ds:itemID="{80453AE1-0307-4BDE-AA14-F62E183A82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1267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Zahariev, Kamen</dc:creator>
  <cp:keywords>[EBRD/PERSONAL]</cp:keywords>
  <cp:lastModifiedBy>Rocha, Ines</cp:lastModifiedBy>
  <cp:revision>3</cp:revision>
  <dcterms:created xsi:type="dcterms:W3CDTF">2017-03-31T09:59:00Z</dcterms:created>
  <dcterms:modified xsi:type="dcterms:W3CDTF">2017-03-31T09:59:00Z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770d72d9-3992-402e-9b64-a270a6fc23e3</vt:lpwstr>
  </property>
  <property fmtid="{D5CDD505-2E9C-101B-9397-08002B2CF9AE}" pid="3" name="bjSaver">
    <vt:lpwstr>ZFgRT8WtEHkPP3O97oWxUZaBUT0lksuH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PERSONAL</vt:lpwstr>
  </property>
  <property fmtid="{D5CDD505-2E9C-101B-9397-08002B2CF9AE}" pid="7" name="bjDocumentLabelFieldCode">
    <vt:lpwstr>PERSONAL</vt:lpwstr>
  </property>
</Properties>
</file>